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CAFA2" w14:textId="69B08920" w:rsidR="003A536E" w:rsidRPr="003A536E" w:rsidRDefault="003A536E" w:rsidP="003A536E">
      <w:pPr>
        <w:spacing w:before="100" w:beforeAutospacing="1" w:after="0" w:line="240" w:lineRule="auto"/>
        <w:jc w:val="center"/>
        <w:rPr>
          <w:rFonts w:ascii="Arial" w:hAnsi="Arial" w:cs="Arial"/>
          <w:b/>
          <w:bCs/>
          <w:sz w:val="24"/>
          <w:szCs w:val="24"/>
        </w:rPr>
      </w:pPr>
      <w:r w:rsidRPr="003A536E">
        <w:rPr>
          <w:rFonts w:ascii="Arial" w:hAnsi="Arial" w:cs="Arial"/>
          <w:b/>
          <w:bCs/>
          <w:sz w:val="24"/>
          <w:szCs w:val="24"/>
        </w:rPr>
        <w:t>Independent Customer Group</w:t>
      </w:r>
    </w:p>
    <w:p w14:paraId="1B6C335D" w14:textId="144D759B" w:rsidR="003A536E" w:rsidRPr="003A536E" w:rsidRDefault="003A536E" w:rsidP="003A536E">
      <w:pPr>
        <w:spacing w:before="100" w:beforeAutospacing="1" w:after="0" w:line="240" w:lineRule="auto"/>
        <w:jc w:val="center"/>
        <w:rPr>
          <w:rFonts w:ascii="Arial" w:hAnsi="Arial" w:cs="Arial"/>
          <w:b/>
          <w:bCs/>
          <w:sz w:val="24"/>
          <w:szCs w:val="24"/>
        </w:rPr>
      </w:pPr>
      <w:r w:rsidRPr="003A536E">
        <w:rPr>
          <w:rFonts w:ascii="Arial" w:hAnsi="Arial" w:cs="Arial"/>
          <w:b/>
          <w:bCs/>
          <w:sz w:val="24"/>
          <w:szCs w:val="24"/>
        </w:rPr>
        <w:t>Purpose and Terms of Reference</w:t>
      </w:r>
    </w:p>
    <w:p w14:paraId="2F77A096" w14:textId="1964361D" w:rsidR="006B0CC9" w:rsidRDefault="006B0CC9" w:rsidP="006B0CC9">
      <w:pPr>
        <w:spacing w:before="100" w:beforeAutospacing="1" w:after="0" w:line="240" w:lineRule="auto"/>
        <w:jc w:val="both"/>
        <w:rPr>
          <w:rFonts w:ascii="Arial" w:hAnsi="Arial" w:cs="Arial"/>
          <w:sz w:val="24"/>
          <w:szCs w:val="24"/>
        </w:rPr>
      </w:pPr>
      <w:r w:rsidRPr="00FB66B5">
        <w:rPr>
          <w:rFonts w:ascii="Arial" w:hAnsi="Arial" w:cs="Arial"/>
          <w:sz w:val="24"/>
          <w:szCs w:val="24"/>
        </w:rPr>
        <w:t xml:space="preserve">The ICG’s role is a broad and responsible one, covering the full range of Scottish Water’s activity </w:t>
      </w:r>
      <w:r w:rsidRPr="00916B74">
        <w:rPr>
          <w:rFonts w:ascii="Arial" w:hAnsi="Arial" w:cs="Arial"/>
          <w:color w:val="000000" w:themeColor="text1"/>
          <w:sz w:val="24"/>
          <w:szCs w:val="24"/>
        </w:rPr>
        <w:t>as it relates to customers and communities</w:t>
      </w:r>
      <w:r w:rsidRPr="00FB66B5">
        <w:rPr>
          <w:rFonts w:ascii="Arial" w:hAnsi="Arial" w:cs="Arial"/>
          <w:sz w:val="24"/>
          <w:szCs w:val="24"/>
        </w:rPr>
        <w:t>. The following principles should guide the way in which it works, and in which Scottish Water enables and works with it. It will:</w:t>
      </w:r>
    </w:p>
    <w:p w14:paraId="1B587682" w14:textId="77777777" w:rsidR="006B0CC9" w:rsidRPr="00FB66B5" w:rsidRDefault="006B0CC9" w:rsidP="006B0CC9">
      <w:pPr>
        <w:spacing w:after="0" w:line="240" w:lineRule="auto"/>
        <w:jc w:val="both"/>
        <w:rPr>
          <w:rFonts w:ascii="Arial" w:hAnsi="Arial" w:cs="Arial"/>
          <w:sz w:val="24"/>
          <w:szCs w:val="24"/>
        </w:rPr>
      </w:pPr>
    </w:p>
    <w:p w14:paraId="2BC70ECD" w14:textId="77777777" w:rsidR="006B0CC9" w:rsidRDefault="006B0CC9" w:rsidP="006B0CC9">
      <w:pPr>
        <w:pStyle w:val="ListParagraph"/>
        <w:numPr>
          <w:ilvl w:val="0"/>
          <w:numId w:val="1"/>
        </w:numPr>
        <w:spacing w:after="120" w:line="240" w:lineRule="auto"/>
        <w:ind w:left="714" w:hanging="357"/>
        <w:jc w:val="both"/>
        <w:rPr>
          <w:rFonts w:ascii="Arial" w:hAnsi="Arial" w:cs="Arial"/>
          <w:sz w:val="24"/>
          <w:szCs w:val="24"/>
        </w:rPr>
      </w:pPr>
      <w:r w:rsidRPr="00FB66B5">
        <w:rPr>
          <w:rFonts w:ascii="Arial" w:hAnsi="Arial" w:cs="Arial"/>
          <w:sz w:val="24"/>
          <w:szCs w:val="24"/>
        </w:rPr>
        <w:t xml:space="preserve">Be hosted by Scottish Water– it will not be legally constituted as a ‘public body’. </w:t>
      </w:r>
    </w:p>
    <w:p w14:paraId="0E8FA372"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377DFF24" w14:textId="77777777" w:rsidR="006B0CC9" w:rsidRDefault="006B0CC9" w:rsidP="006B0CC9">
      <w:pPr>
        <w:pStyle w:val="ListParagraph"/>
        <w:numPr>
          <w:ilvl w:val="0"/>
          <w:numId w:val="1"/>
        </w:numPr>
        <w:spacing w:after="120" w:line="240" w:lineRule="auto"/>
        <w:ind w:left="714" w:hanging="357"/>
        <w:jc w:val="both"/>
        <w:rPr>
          <w:rFonts w:ascii="Arial" w:hAnsi="Arial" w:cs="Arial"/>
          <w:color w:val="000000" w:themeColor="text1"/>
          <w:sz w:val="24"/>
          <w:szCs w:val="24"/>
        </w:rPr>
      </w:pPr>
      <w:r w:rsidRPr="00916B74">
        <w:rPr>
          <w:rFonts w:ascii="Arial" w:hAnsi="Arial" w:cs="Arial"/>
          <w:color w:val="000000" w:themeColor="text1"/>
          <w:sz w:val="24"/>
          <w:szCs w:val="24"/>
        </w:rPr>
        <w:t>Be an advisory group with no quorum requirements.</w:t>
      </w:r>
    </w:p>
    <w:p w14:paraId="77B1E0CA" w14:textId="77777777" w:rsidR="006B0CC9" w:rsidRPr="00AA301B" w:rsidRDefault="006B0CC9" w:rsidP="006B0CC9">
      <w:pPr>
        <w:pStyle w:val="ListParagraph"/>
        <w:ind w:left="1077"/>
        <w:rPr>
          <w:rFonts w:ascii="Arial" w:hAnsi="Arial" w:cs="Arial"/>
          <w:sz w:val="24"/>
          <w:szCs w:val="24"/>
        </w:rPr>
      </w:pPr>
    </w:p>
    <w:p w14:paraId="7E09A7FB" w14:textId="77777777" w:rsidR="006B0CC9" w:rsidRPr="00AA301B" w:rsidRDefault="006B0CC9" w:rsidP="006B0CC9">
      <w:pPr>
        <w:pStyle w:val="ListParagraph"/>
        <w:numPr>
          <w:ilvl w:val="0"/>
          <w:numId w:val="1"/>
        </w:numPr>
        <w:spacing w:after="120" w:line="240" w:lineRule="auto"/>
        <w:ind w:left="714" w:hanging="357"/>
        <w:jc w:val="both"/>
        <w:rPr>
          <w:rFonts w:ascii="Arial" w:hAnsi="Arial" w:cs="Arial"/>
          <w:color w:val="000000" w:themeColor="text1"/>
          <w:sz w:val="24"/>
          <w:szCs w:val="24"/>
        </w:rPr>
      </w:pPr>
      <w:r w:rsidRPr="00AA301B">
        <w:rPr>
          <w:rFonts w:ascii="Arial" w:hAnsi="Arial" w:cs="Arial"/>
          <w:sz w:val="24"/>
          <w:szCs w:val="24"/>
        </w:rPr>
        <w:t xml:space="preserve">Be operationally independent, entrusted and valued by Scottish Water’s Board but free from any perceived capture, providing operationally independent input and constructive challenge. </w:t>
      </w:r>
    </w:p>
    <w:p w14:paraId="537E391A"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2C616A18" w14:textId="77777777" w:rsidR="006B0CC9" w:rsidRDefault="006B0CC9" w:rsidP="006B0CC9">
      <w:pPr>
        <w:pStyle w:val="ListParagraph"/>
        <w:numPr>
          <w:ilvl w:val="0"/>
          <w:numId w:val="1"/>
        </w:numPr>
        <w:spacing w:after="120" w:line="240" w:lineRule="auto"/>
        <w:ind w:left="714" w:hanging="357"/>
        <w:jc w:val="both"/>
        <w:textAlignment w:val="baseline"/>
        <w:rPr>
          <w:rFonts w:ascii="Arial" w:hAnsi="Arial" w:cs="Arial"/>
          <w:sz w:val="24"/>
          <w:szCs w:val="24"/>
        </w:rPr>
      </w:pPr>
      <w:proofErr w:type="gramStart"/>
      <w:r w:rsidRPr="00FB66B5">
        <w:rPr>
          <w:rFonts w:ascii="Arial" w:hAnsi="Arial" w:cs="Arial"/>
          <w:sz w:val="24"/>
          <w:szCs w:val="24"/>
        </w:rPr>
        <w:t>Have the opportunity to</w:t>
      </w:r>
      <w:proofErr w:type="gramEnd"/>
      <w:r w:rsidRPr="00FB66B5">
        <w:rPr>
          <w:rFonts w:ascii="Arial" w:hAnsi="Arial" w:cs="Arial"/>
          <w:sz w:val="24"/>
          <w:szCs w:val="24"/>
        </w:rPr>
        <w:t xml:space="preserve"> have its overall views included whenever plans are submitted by Scottish Water for approval to Scottish Government, WICS or </w:t>
      </w:r>
      <w:r w:rsidRPr="00916B74">
        <w:rPr>
          <w:rFonts w:ascii="Arial" w:hAnsi="Arial" w:cs="Arial"/>
          <w:color w:val="000000" w:themeColor="text1"/>
          <w:sz w:val="24"/>
          <w:szCs w:val="24"/>
        </w:rPr>
        <w:t xml:space="preserve">Consumer Scotland </w:t>
      </w:r>
      <w:r w:rsidRPr="00FB66B5">
        <w:rPr>
          <w:rFonts w:ascii="Arial" w:hAnsi="Arial" w:cs="Arial"/>
          <w:sz w:val="24"/>
          <w:szCs w:val="24"/>
        </w:rPr>
        <w:t xml:space="preserve">under industry governance arrangements. </w:t>
      </w:r>
    </w:p>
    <w:p w14:paraId="302FF7C8" w14:textId="77777777" w:rsidR="006B0CC9" w:rsidRDefault="006B0CC9" w:rsidP="006B0CC9">
      <w:pPr>
        <w:pStyle w:val="ListParagraph"/>
        <w:spacing w:after="120" w:line="240" w:lineRule="auto"/>
        <w:ind w:left="714"/>
        <w:jc w:val="both"/>
        <w:textAlignment w:val="baseline"/>
        <w:rPr>
          <w:rFonts w:ascii="Arial" w:hAnsi="Arial" w:cs="Arial"/>
          <w:sz w:val="24"/>
          <w:szCs w:val="24"/>
        </w:rPr>
      </w:pPr>
    </w:p>
    <w:p w14:paraId="3897A24D" w14:textId="3EE4A2E8" w:rsidR="0035099D" w:rsidRPr="0035099D" w:rsidRDefault="006B0CC9" w:rsidP="0035099D">
      <w:pPr>
        <w:pStyle w:val="ListParagraph"/>
        <w:numPr>
          <w:ilvl w:val="0"/>
          <w:numId w:val="1"/>
        </w:numPr>
        <w:spacing w:after="0" w:line="240" w:lineRule="auto"/>
        <w:ind w:left="714" w:hanging="357"/>
        <w:jc w:val="both"/>
        <w:textAlignment w:val="baseline"/>
        <w:rPr>
          <w:rFonts w:ascii="Arial" w:hAnsi="Arial" w:cs="Arial"/>
          <w:sz w:val="24"/>
          <w:szCs w:val="24"/>
        </w:rPr>
      </w:pPr>
      <w:r w:rsidRPr="006B0CC9">
        <w:rPr>
          <w:rFonts w:ascii="Arial" w:hAnsi="Arial" w:cs="Arial"/>
          <w:sz w:val="24"/>
          <w:szCs w:val="24"/>
        </w:rPr>
        <w:t xml:space="preserve">Operate within the policy framework set by the Scottish </w:t>
      </w:r>
      <w:r w:rsidR="007C0E00" w:rsidRPr="006B0CC9">
        <w:rPr>
          <w:rFonts w:ascii="Arial" w:hAnsi="Arial" w:cs="Arial"/>
          <w:sz w:val="24"/>
          <w:szCs w:val="24"/>
        </w:rPr>
        <w:t>Government</w:t>
      </w:r>
      <w:r w:rsidR="007C0E00">
        <w:rPr>
          <w:rFonts w:ascii="Arial" w:hAnsi="Arial" w:cs="Arial"/>
          <w:sz w:val="24"/>
          <w:szCs w:val="24"/>
        </w:rPr>
        <w:t>.</w:t>
      </w:r>
      <w:r w:rsidR="007C0E00">
        <w:rPr>
          <w:rFonts w:ascii="Arial" w:hAnsi="Arial" w:cs="Arial"/>
          <w:color w:val="000000" w:themeColor="text1"/>
          <w:sz w:val="24"/>
          <w:szCs w:val="24"/>
        </w:rPr>
        <w:t xml:space="preserve"> In</w:t>
      </w:r>
      <w:r>
        <w:rPr>
          <w:rFonts w:ascii="Arial" w:hAnsi="Arial" w:cs="Arial"/>
          <w:color w:val="000000" w:themeColor="text1"/>
          <w:sz w:val="24"/>
          <w:szCs w:val="24"/>
        </w:rPr>
        <w:t xml:space="preserve"> th</w:t>
      </w:r>
      <w:r w:rsidR="007C0E00">
        <w:rPr>
          <w:rFonts w:ascii="Arial" w:hAnsi="Arial" w:cs="Arial"/>
          <w:color w:val="000000" w:themeColor="text1"/>
          <w:sz w:val="24"/>
          <w:szCs w:val="24"/>
        </w:rPr>
        <w:t>is</w:t>
      </w:r>
      <w:r>
        <w:rPr>
          <w:rFonts w:ascii="Arial" w:hAnsi="Arial" w:cs="Arial"/>
          <w:color w:val="000000" w:themeColor="text1"/>
          <w:sz w:val="24"/>
          <w:szCs w:val="24"/>
        </w:rPr>
        <w:t xml:space="preserve"> context</w:t>
      </w:r>
      <w:r w:rsidR="007C0E00">
        <w:rPr>
          <w:rFonts w:ascii="Arial" w:hAnsi="Arial" w:cs="Arial"/>
          <w:color w:val="000000" w:themeColor="text1"/>
          <w:sz w:val="24"/>
          <w:szCs w:val="24"/>
        </w:rPr>
        <w:t>,</w:t>
      </w:r>
      <w:r>
        <w:rPr>
          <w:rFonts w:ascii="Arial" w:hAnsi="Arial" w:cs="Arial"/>
          <w:color w:val="000000" w:themeColor="text1"/>
          <w:sz w:val="24"/>
          <w:szCs w:val="24"/>
        </w:rPr>
        <w:t xml:space="preserve"> the role of the Group is to ensure that there is a robust evidence base of customer views to help inform decision making.</w:t>
      </w:r>
    </w:p>
    <w:p w14:paraId="36C144BD" w14:textId="77777777" w:rsidR="0035099D" w:rsidRPr="0035099D" w:rsidRDefault="0035099D" w:rsidP="0035099D">
      <w:pPr>
        <w:spacing w:after="0" w:line="240" w:lineRule="auto"/>
        <w:jc w:val="both"/>
        <w:textAlignment w:val="baseline"/>
        <w:rPr>
          <w:rFonts w:ascii="Arial" w:hAnsi="Arial" w:cs="Arial"/>
          <w:sz w:val="24"/>
          <w:szCs w:val="24"/>
        </w:rPr>
      </w:pPr>
    </w:p>
    <w:p w14:paraId="11DB331D" w14:textId="77777777" w:rsidR="006B0CC9" w:rsidRDefault="006B0CC9" w:rsidP="0035099D">
      <w:pPr>
        <w:pStyle w:val="ListParagraph"/>
        <w:numPr>
          <w:ilvl w:val="0"/>
          <w:numId w:val="1"/>
        </w:numPr>
        <w:spacing w:after="0" w:line="240" w:lineRule="auto"/>
        <w:ind w:left="714" w:hanging="357"/>
        <w:jc w:val="both"/>
        <w:rPr>
          <w:rFonts w:ascii="Arial" w:hAnsi="Arial" w:cs="Arial"/>
          <w:sz w:val="24"/>
          <w:szCs w:val="24"/>
        </w:rPr>
      </w:pPr>
      <w:r w:rsidRPr="00FB66B5">
        <w:rPr>
          <w:rFonts w:ascii="Arial" w:hAnsi="Arial" w:cs="Arial"/>
          <w:sz w:val="24"/>
          <w:szCs w:val="24"/>
        </w:rPr>
        <w:t xml:space="preserve">Be recognised by other water sector stakeholders - and supported by them to fulfil its remit. </w:t>
      </w:r>
    </w:p>
    <w:p w14:paraId="2144AD50"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62B99E5E" w14:textId="77777777" w:rsidR="006B0CC9" w:rsidRDefault="006B0CC9" w:rsidP="006B0CC9">
      <w:pPr>
        <w:pStyle w:val="ListParagraph"/>
        <w:numPr>
          <w:ilvl w:val="0"/>
          <w:numId w:val="1"/>
        </w:numPr>
        <w:spacing w:after="120" w:line="240" w:lineRule="auto"/>
        <w:ind w:left="714" w:hanging="357"/>
        <w:jc w:val="both"/>
        <w:rPr>
          <w:rFonts w:ascii="Arial" w:hAnsi="Arial" w:cs="Arial"/>
          <w:sz w:val="24"/>
          <w:szCs w:val="24"/>
        </w:rPr>
      </w:pPr>
      <w:r w:rsidRPr="00FB66B5">
        <w:rPr>
          <w:rFonts w:ascii="Arial" w:hAnsi="Arial" w:cs="Arial"/>
          <w:sz w:val="24"/>
          <w:szCs w:val="24"/>
        </w:rPr>
        <w:t>Be proactive – engaging with Scottish Water, customers and communities on an ongoing and proactive basis supporting a process of continuous improvement and transformation.</w:t>
      </w:r>
    </w:p>
    <w:p w14:paraId="05FD60DB"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647969D4" w14:textId="77777777" w:rsidR="006B0CC9" w:rsidRDefault="006B0CC9" w:rsidP="006B0CC9">
      <w:pPr>
        <w:pStyle w:val="ListParagraph"/>
        <w:numPr>
          <w:ilvl w:val="0"/>
          <w:numId w:val="1"/>
        </w:numPr>
        <w:spacing w:after="120" w:line="240" w:lineRule="auto"/>
        <w:ind w:left="714" w:hanging="357"/>
        <w:jc w:val="both"/>
        <w:rPr>
          <w:rFonts w:ascii="Arial" w:hAnsi="Arial" w:cs="Arial"/>
          <w:sz w:val="24"/>
          <w:szCs w:val="24"/>
        </w:rPr>
      </w:pPr>
      <w:r w:rsidRPr="00FB66B5">
        <w:rPr>
          <w:rFonts w:ascii="Arial" w:hAnsi="Arial" w:cs="Arial"/>
          <w:sz w:val="24"/>
          <w:szCs w:val="24"/>
        </w:rPr>
        <w:t>Be knowledgeable – using a wide range and variety of sources of information to understand the context, strategic challenges and opportunities impacting customers and communities.</w:t>
      </w:r>
    </w:p>
    <w:p w14:paraId="20DDD3AB"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790DFEF1" w14:textId="77777777" w:rsidR="006B0CC9" w:rsidRDefault="006B0CC9" w:rsidP="006B0CC9">
      <w:pPr>
        <w:pStyle w:val="ListParagraph"/>
        <w:numPr>
          <w:ilvl w:val="0"/>
          <w:numId w:val="1"/>
        </w:numPr>
        <w:spacing w:after="120" w:line="240" w:lineRule="auto"/>
        <w:ind w:left="714" w:hanging="357"/>
        <w:jc w:val="both"/>
        <w:rPr>
          <w:rFonts w:ascii="Arial" w:hAnsi="Arial" w:cs="Arial"/>
          <w:color w:val="000000" w:themeColor="text1"/>
          <w:sz w:val="24"/>
          <w:szCs w:val="24"/>
        </w:rPr>
      </w:pPr>
      <w:r w:rsidRPr="00FB66B5">
        <w:rPr>
          <w:rFonts w:ascii="Arial" w:hAnsi="Arial" w:cs="Arial"/>
          <w:sz w:val="24"/>
          <w:szCs w:val="24"/>
        </w:rPr>
        <w:t>Be adequately resourced – the ICG should be given the time and resources to effectively fulfil its role, including the commissioning of research as discussed with the</w:t>
      </w:r>
      <w:r w:rsidRPr="00FB66B5">
        <w:rPr>
          <w:rFonts w:ascii="Arial" w:hAnsi="Arial" w:cs="Arial"/>
          <w:color w:val="EE0000"/>
          <w:sz w:val="24"/>
          <w:szCs w:val="24"/>
        </w:rPr>
        <w:t xml:space="preserve"> </w:t>
      </w:r>
      <w:r w:rsidRPr="00AA301B">
        <w:rPr>
          <w:rFonts w:ascii="Arial" w:hAnsi="Arial" w:cs="Arial"/>
          <w:color w:val="000000" w:themeColor="text1"/>
          <w:sz w:val="24"/>
          <w:szCs w:val="24"/>
        </w:rPr>
        <w:t>CRCG.</w:t>
      </w:r>
    </w:p>
    <w:p w14:paraId="28FA49C1" w14:textId="77777777" w:rsidR="006B0CC9" w:rsidRDefault="006B0CC9" w:rsidP="006B0CC9">
      <w:pPr>
        <w:pStyle w:val="ListParagraph"/>
        <w:spacing w:after="120" w:line="240" w:lineRule="auto"/>
        <w:ind w:left="714"/>
        <w:jc w:val="both"/>
        <w:rPr>
          <w:rFonts w:ascii="Arial" w:hAnsi="Arial" w:cs="Arial"/>
          <w:color w:val="000000" w:themeColor="text1"/>
          <w:sz w:val="24"/>
          <w:szCs w:val="24"/>
        </w:rPr>
      </w:pPr>
    </w:p>
    <w:p w14:paraId="24EC41AA" w14:textId="77777777" w:rsidR="006B0CC9" w:rsidRDefault="006B0CC9" w:rsidP="006B0CC9">
      <w:pPr>
        <w:pStyle w:val="ListParagraph"/>
        <w:numPr>
          <w:ilvl w:val="0"/>
          <w:numId w:val="1"/>
        </w:numPr>
        <w:spacing w:after="120" w:line="240" w:lineRule="auto"/>
        <w:ind w:left="714" w:hanging="357"/>
        <w:jc w:val="both"/>
        <w:rPr>
          <w:rFonts w:ascii="Arial" w:hAnsi="Arial" w:cs="Arial"/>
          <w:color w:val="000000" w:themeColor="text1"/>
          <w:sz w:val="24"/>
          <w:szCs w:val="24"/>
        </w:rPr>
      </w:pPr>
      <w:r w:rsidRPr="00AA301B">
        <w:rPr>
          <w:rFonts w:ascii="Arial" w:hAnsi="Arial" w:cs="Arial"/>
          <w:sz w:val="24"/>
          <w:szCs w:val="24"/>
        </w:rPr>
        <w:t xml:space="preserve">Have an evolving role – the role of the ICG to be reviewed periodically to ensure it continues to be effective.  </w:t>
      </w:r>
      <w:r w:rsidRPr="00AA301B">
        <w:rPr>
          <w:rFonts w:ascii="Arial" w:hAnsi="Arial" w:cs="Arial"/>
          <w:color w:val="000000" w:themeColor="text1"/>
          <w:sz w:val="24"/>
          <w:szCs w:val="24"/>
        </w:rPr>
        <w:t xml:space="preserve">A formal effectiveness review of the group will be carried out on a regular basis.  Any proposed changes to the Terms of Reference arising from a review will be agreed by the Chair of the ICG, in consultation with Scottish Water’s Director of Strategy and Regulation. </w:t>
      </w:r>
    </w:p>
    <w:p w14:paraId="169FD45A" w14:textId="77777777" w:rsidR="006B0CC9" w:rsidRPr="00AA301B" w:rsidRDefault="006B0CC9" w:rsidP="006B0CC9">
      <w:pPr>
        <w:pStyle w:val="ListParagraph"/>
        <w:spacing w:after="120" w:line="240" w:lineRule="auto"/>
        <w:ind w:left="714"/>
        <w:jc w:val="both"/>
        <w:rPr>
          <w:rFonts w:ascii="Arial" w:hAnsi="Arial" w:cs="Arial"/>
          <w:color w:val="000000" w:themeColor="text1"/>
          <w:sz w:val="24"/>
          <w:szCs w:val="24"/>
        </w:rPr>
      </w:pPr>
    </w:p>
    <w:p w14:paraId="0CA24003" w14:textId="77777777" w:rsidR="006B0CC9" w:rsidRDefault="006B0CC9" w:rsidP="006B0CC9">
      <w:pPr>
        <w:pStyle w:val="ListParagraph"/>
        <w:numPr>
          <w:ilvl w:val="0"/>
          <w:numId w:val="1"/>
        </w:numPr>
        <w:spacing w:after="120" w:line="240" w:lineRule="auto"/>
        <w:ind w:left="714" w:hanging="357"/>
        <w:jc w:val="both"/>
        <w:rPr>
          <w:rFonts w:ascii="Arial" w:hAnsi="Arial" w:cs="Arial"/>
          <w:sz w:val="24"/>
          <w:szCs w:val="24"/>
        </w:rPr>
      </w:pPr>
      <w:r w:rsidRPr="00FB66B5">
        <w:rPr>
          <w:rFonts w:ascii="Arial" w:hAnsi="Arial" w:cs="Arial"/>
          <w:sz w:val="24"/>
          <w:szCs w:val="24"/>
        </w:rPr>
        <w:lastRenderedPageBreak/>
        <w:t>Be credible to customers and communities, with the views of the ICG grounded in customer research and representation.</w:t>
      </w:r>
    </w:p>
    <w:p w14:paraId="477E7939" w14:textId="77777777" w:rsidR="006B0CC9" w:rsidRPr="00FB66B5" w:rsidRDefault="006B0CC9" w:rsidP="006B0CC9">
      <w:pPr>
        <w:pStyle w:val="ListParagraph"/>
        <w:spacing w:after="120" w:line="240" w:lineRule="auto"/>
        <w:ind w:left="714"/>
        <w:jc w:val="both"/>
        <w:rPr>
          <w:rFonts w:ascii="Arial" w:hAnsi="Arial" w:cs="Arial"/>
          <w:sz w:val="24"/>
          <w:szCs w:val="24"/>
        </w:rPr>
      </w:pPr>
    </w:p>
    <w:p w14:paraId="59FD5A25" w14:textId="77777777" w:rsidR="006B0CC9" w:rsidRDefault="006B0CC9" w:rsidP="006B0CC9">
      <w:pPr>
        <w:pStyle w:val="ListParagraph"/>
        <w:numPr>
          <w:ilvl w:val="0"/>
          <w:numId w:val="1"/>
        </w:numPr>
        <w:spacing w:after="120" w:line="240" w:lineRule="auto"/>
        <w:ind w:left="714" w:hanging="357"/>
        <w:jc w:val="both"/>
        <w:rPr>
          <w:rFonts w:ascii="Arial" w:hAnsi="Arial" w:cs="Arial"/>
          <w:color w:val="000000" w:themeColor="text1"/>
          <w:sz w:val="24"/>
          <w:szCs w:val="24"/>
        </w:rPr>
      </w:pPr>
      <w:r w:rsidRPr="00FB66B5">
        <w:rPr>
          <w:rFonts w:ascii="Arial" w:hAnsi="Arial" w:cs="Arial"/>
          <w:sz w:val="24"/>
          <w:szCs w:val="24"/>
        </w:rPr>
        <w:t xml:space="preserve">Respect the confidentiality of any sensitive information received such as that covered by security requirements, commercial confidentiality or data protection. </w:t>
      </w:r>
      <w:r w:rsidRPr="00AA301B">
        <w:rPr>
          <w:rFonts w:ascii="Arial" w:hAnsi="Arial" w:cs="Arial"/>
          <w:color w:val="000000" w:themeColor="text1"/>
          <w:sz w:val="24"/>
          <w:szCs w:val="24"/>
        </w:rPr>
        <w:t>Members will not share information about the Independent Customer Group or its work without the prior agreement of the Chair of the Group and Scottish Water’s Director of Strategy and Regulation. As a part of Scottish Water, the Group’s communications shall be subject to the Freedom of Information Act (Scotland).</w:t>
      </w:r>
    </w:p>
    <w:p w14:paraId="6778207F" w14:textId="77777777" w:rsidR="006B0CC9" w:rsidRPr="004F4265" w:rsidRDefault="006B0CC9" w:rsidP="006B0CC9">
      <w:pPr>
        <w:pStyle w:val="ListParagraph"/>
        <w:rPr>
          <w:rFonts w:ascii="Arial" w:hAnsi="Arial" w:cs="Arial"/>
          <w:color w:val="000000" w:themeColor="text1"/>
          <w:sz w:val="24"/>
          <w:szCs w:val="24"/>
        </w:rPr>
      </w:pPr>
    </w:p>
    <w:p w14:paraId="068386ED" w14:textId="77777777" w:rsidR="006B0CC9" w:rsidRPr="004F4265" w:rsidRDefault="006B0CC9" w:rsidP="006B0CC9">
      <w:pPr>
        <w:pStyle w:val="ListParagraph"/>
        <w:spacing w:after="120" w:line="240" w:lineRule="auto"/>
        <w:ind w:left="714"/>
        <w:jc w:val="both"/>
        <w:rPr>
          <w:rFonts w:ascii="Arial" w:hAnsi="Arial" w:cs="Arial"/>
          <w:color w:val="000000" w:themeColor="text1"/>
          <w:sz w:val="24"/>
          <w:szCs w:val="24"/>
        </w:rPr>
      </w:pPr>
    </w:p>
    <w:p w14:paraId="7EDBDCF4" w14:textId="77777777" w:rsidR="006B0CC9" w:rsidRDefault="006B0CC9" w:rsidP="006B0CC9">
      <w:pPr>
        <w:jc w:val="both"/>
        <w:rPr>
          <w:rFonts w:ascii="Arial" w:hAnsi="Arial" w:cs="Arial"/>
          <w:b/>
          <w:bCs/>
          <w:color w:val="000000" w:themeColor="text1"/>
          <w:sz w:val="24"/>
          <w:szCs w:val="24"/>
        </w:rPr>
      </w:pPr>
      <w:r w:rsidRPr="00AA301B">
        <w:rPr>
          <w:rFonts w:ascii="Arial" w:hAnsi="Arial" w:cs="Arial"/>
          <w:b/>
          <w:bCs/>
          <w:color w:val="000000" w:themeColor="text1"/>
          <w:sz w:val="24"/>
          <w:szCs w:val="24"/>
        </w:rPr>
        <w:t xml:space="preserve">Operational Requirements of the ICG </w:t>
      </w:r>
    </w:p>
    <w:p w14:paraId="53B878F2" w14:textId="77777777" w:rsidR="006B0CC9" w:rsidRPr="004F4265" w:rsidRDefault="006B0CC9" w:rsidP="006B0CC9">
      <w:pPr>
        <w:jc w:val="both"/>
        <w:rPr>
          <w:rFonts w:ascii="Arial" w:hAnsi="Arial" w:cs="Arial"/>
          <w:color w:val="000000" w:themeColor="text1"/>
          <w:sz w:val="24"/>
          <w:szCs w:val="24"/>
        </w:rPr>
      </w:pPr>
      <w:r w:rsidRPr="004F4265">
        <w:rPr>
          <w:rFonts w:ascii="Arial" w:hAnsi="Arial" w:cs="Arial"/>
          <w:color w:val="000000" w:themeColor="text1"/>
          <w:sz w:val="24"/>
          <w:szCs w:val="24"/>
        </w:rPr>
        <w:t>The following operational requirements of the ICG will apply:</w:t>
      </w:r>
    </w:p>
    <w:p w14:paraId="6704C2F0"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The ICG will consist of up to ten members. Members will bring a range of relevant skills, backgrounds, broader perspectives and insight, to discussions.</w:t>
      </w:r>
    </w:p>
    <w:p w14:paraId="3CB76806" w14:textId="77777777" w:rsidR="006B0CC9" w:rsidRPr="00AA301B" w:rsidRDefault="006B0CC9" w:rsidP="006B0CC9">
      <w:pPr>
        <w:pStyle w:val="ListParagraph"/>
        <w:spacing w:after="0" w:line="240" w:lineRule="auto"/>
        <w:jc w:val="both"/>
        <w:rPr>
          <w:rFonts w:ascii="Arial" w:eastAsia="Times New Roman" w:hAnsi="Arial" w:cs="Arial"/>
          <w:color w:val="000000" w:themeColor="text1"/>
          <w:sz w:val="24"/>
          <w:szCs w:val="24"/>
          <w:lang w:eastAsia="en-GB"/>
        </w:rPr>
      </w:pPr>
    </w:p>
    <w:p w14:paraId="631E8B2A"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 xml:space="preserve">The ICG meets in person normally once per month, additional meetings may be scheduled (either in person or online) as required. </w:t>
      </w:r>
    </w:p>
    <w:p w14:paraId="25CDB40F" w14:textId="77777777" w:rsidR="006B0CC9" w:rsidRPr="00AA301B" w:rsidRDefault="006B0CC9" w:rsidP="006B0CC9">
      <w:pPr>
        <w:pStyle w:val="ListParagraph"/>
        <w:jc w:val="both"/>
        <w:rPr>
          <w:rFonts w:ascii="Arial" w:eastAsia="Times New Roman" w:hAnsi="Arial" w:cs="Arial"/>
          <w:color w:val="000000" w:themeColor="text1"/>
          <w:sz w:val="24"/>
          <w:szCs w:val="24"/>
          <w:lang w:eastAsia="en-GB"/>
        </w:rPr>
      </w:pPr>
    </w:p>
    <w:p w14:paraId="5F816935"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 xml:space="preserve">The ICG will provide updates on the activity and progress of the group within Scottish Water’s Performance and Prospects Report.  </w:t>
      </w:r>
    </w:p>
    <w:p w14:paraId="02ADF438" w14:textId="77777777" w:rsidR="006B0CC9" w:rsidRPr="00AA301B" w:rsidRDefault="006B0CC9" w:rsidP="006B0CC9">
      <w:pPr>
        <w:pStyle w:val="ListParagraph"/>
        <w:jc w:val="both"/>
        <w:rPr>
          <w:rFonts w:ascii="Arial" w:eastAsia="Times New Roman" w:hAnsi="Arial" w:cs="Arial"/>
          <w:color w:val="000000" w:themeColor="text1"/>
          <w:sz w:val="24"/>
          <w:szCs w:val="24"/>
          <w:lang w:eastAsia="en-GB"/>
        </w:rPr>
      </w:pPr>
    </w:p>
    <w:p w14:paraId="667EB347"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A record of formal meetings</w:t>
      </w:r>
      <w:r>
        <w:rPr>
          <w:rFonts w:ascii="Arial" w:eastAsia="Times New Roman" w:hAnsi="Arial" w:cs="Arial"/>
          <w:color w:val="000000" w:themeColor="text1"/>
          <w:sz w:val="24"/>
          <w:szCs w:val="24"/>
          <w:lang w:eastAsia="en-GB"/>
        </w:rPr>
        <w:t xml:space="preserve"> </w:t>
      </w:r>
      <w:r w:rsidRPr="00AA301B">
        <w:rPr>
          <w:rFonts w:ascii="Arial" w:eastAsia="Times New Roman" w:hAnsi="Arial" w:cs="Arial"/>
          <w:color w:val="000000" w:themeColor="text1"/>
          <w:sz w:val="24"/>
          <w:szCs w:val="24"/>
          <w:lang w:eastAsia="en-GB"/>
        </w:rPr>
        <w:t xml:space="preserve">of the ICG will be </w:t>
      </w:r>
      <w:r>
        <w:rPr>
          <w:rFonts w:ascii="Arial" w:eastAsia="Times New Roman" w:hAnsi="Arial" w:cs="Arial"/>
          <w:color w:val="000000" w:themeColor="text1"/>
          <w:sz w:val="24"/>
          <w:szCs w:val="24"/>
          <w:lang w:eastAsia="en-GB"/>
        </w:rPr>
        <w:t>added</w:t>
      </w:r>
      <w:r w:rsidRPr="00AA301B">
        <w:rPr>
          <w:rFonts w:ascii="Arial" w:eastAsia="Times New Roman" w:hAnsi="Arial" w:cs="Arial"/>
          <w:color w:val="000000" w:themeColor="text1"/>
          <w:sz w:val="24"/>
          <w:szCs w:val="24"/>
          <w:lang w:eastAsia="en-GB"/>
        </w:rPr>
        <w:t xml:space="preserve"> to the ICG’s internal SharePoint page.  </w:t>
      </w:r>
    </w:p>
    <w:p w14:paraId="25B087B5" w14:textId="77777777" w:rsidR="006B0CC9" w:rsidRPr="00AA301B" w:rsidRDefault="006B0CC9" w:rsidP="006B0CC9">
      <w:pPr>
        <w:pStyle w:val="ListParagraph"/>
        <w:jc w:val="both"/>
        <w:rPr>
          <w:rFonts w:ascii="Arial" w:eastAsia="Times New Roman" w:hAnsi="Arial" w:cs="Arial"/>
          <w:color w:val="000000" w:themeColor="text1"/>
          <w:sz w:val="24"/>
          <w:szCs w:val="24"/>
          <w:lang w:eastAsia="en-GB"/>
        </w:rPr>
      </w:pPr>
    </w:p>
    <w:p w14:paraId="0052FE3A"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Planning and coordination meetings will be held as required between the Chair and Vice Chair of the ICG and representatives from Scottish Water’s Policy &amp; Strategy Engagement team to support overall relationship management and ensure sure the needs and expectations of both Scottish Water and the ICG continued to be maintained.</w:t>
      </w:r>
    </w:p>
    <w:p w14:paraId="0AEFB7E3" w14:textId="77777777" w:rsidR="006B0CC9" w:rsidRPr="00AA301B" w:rsidRDefault="006B0CC9" w:rsidP="006B0CC9">
      <w:pPr>
        <w:pStyle w:val="ListParagraph"/>
        <w:jc w:val="both"/>
        <w:rPr>
          <w:rFonts w:ascii="Arial" w:eastAsia="Times New Roman" w:hAnsi="Arial" w:cs="Arial"/>
          <w:color w:val="000000" w:themeColor="text1"/>
          <w:sz w:val="24"/>
          <w:szCs w:val="24"/>
          <w:lang w:eastAsia="en-GB"/>
        </w:rPr>
      </w:pPr>
    </w:p>
    <w:p w14:paraId="296E3784" w14:textId="77777777" w:rsidR="006B0CC9" w:rsidRPr="00AA301B" w:rsidRDefault="006B0CC9" w:rsidP="006B0CC9">
      <w:pPr>
        <w:pStyle w:val="ListParagraph"/>
        <w:numPr>
          <w:ilvl w:val="0"/>
          <w:numId w:val="1"/>
        </w:numPr>
        <w:spacing w:after="0" w:line="240" w:lineRule="auto"/>
        <w:jc w:val="both"/>
        <w:rPr>
          <w:rFonts w:ascii="Arial" w:eastAsia="Times New Roman" w:hAnsi="Arial" w:cs="Arial"/>
          <w:color w:val="000000" w:themeColor="text1"/>
          <w:sz w:val="24"/>
          <w:szCs w:val="24"/>
          <w:lang w:eastAsia="en-GB"/>
        </w:rPr>
      </w:pPr>
      <w:r w:rsidRPr="00AA301B">
        <w:rPr>
          <w:rFonts w:ascii="Arial" w:eastAsia="Times New Roman" w:hAnsi="Arial" w:cs="Arial"/>
          <w:color w:val="000000" w:themeColor="text1"/>
          <w:sz w:val="24"/>
          <w:szCs w:val="24"/>
          <w:lang w:eastAsia="en-GB"/>
        </w:rPr>
        <w:t xml:space="preserve">While being hosted within Scottish Water, the Group will be separate from the corporate body. To </w:t>
      </w:r>
      <w:r w:rsidRPr="00AA301B" w:rsidDel="00410219">
        <w:rPr>
          <w:rFonts w:ascii="Arial" w:eastAsia="Times New Roman" w:hAnsi="Arial" w:cs="Arial"/>
          <w:color w:val="000000" w:themeColor="text1"/>
          <w:sz w:val="24"/>
          <w:szCs w:val="24"/>
          <w:lang w:eastAsia="en-GB"/>
        </w:rPr>
        <w:t>ensure</w:t>
      </w:r>
      <w:r w:rsidRPr="00AA301B">
        <w:rPr>
          <w:rFonts w:ascii="Arial" w:eastAsia="Times New Roman" w:hAnsi="Arial" w:cs="Arial"/>
          <w:color w:val="000000" w:themeColor="text1"/>
          <w:sz w:val="24"/>
          <w:szCs w:val="24"/>
          <w:lang w:eastAsia="en-GB"/>
        </w:rPr>
        <w:t xml:space="preserve"> the operational independence of the ICG the Chair reports to the Chair of Scottish Water. An </w:t>
      </w:r>
      <w:r w:rsidRPr="00AA301B">
        <w:rPr>
          <w:rFonts w:ascii="Arial" w:hAnsi="Arial" w:cs="Arial"/>
          <w:color w:val="000000" w:themeColor="text1"/>
          <w:sz w:val="24"/>
          <w:szCs w:val="24"/>
          <w:lang w:eastAsia="en-GB"/>
        </w:rPr>
        <w:t xml:space="preserve">annual review of the work and performance of the ICG is held between the ICG Chair and Scottish Water’s Chair and Chief Executive. </w:t>
      </w:r>
    </w:p>
    <w:p w14:paraId="04547FB7" w14:textId="77777777" w:rsidR="006B0CC9" w:rsidRPr="00FB66B5" w:rsidRDefault="006B0CC9" w:rsidP="006B0CC9">
      <w:pPr>
        <w:spacing w:after="0" w:line="240" w:lineRule="auto"/>
        <w:jc w:val="both"/>
        <w:rPr>
          <w:rFonts w:ascii="Arial" w:eastAsia="Times New Roman" w:hAnsi="Arial" w:cs="Arial"/>
          <w:sz w:val="24"/>
          <w:szCs w:val="24"/>
          <w:lang w:eastAsia="en-GB"/>
        </w:rPr>
      </w:pPr>
    </w:p>
    <w:p w14:paraId="38B43F9F" w14:textId="77777777" w:rsidR="006B0CC9" w:rsidRPr="00FB66B5" w:rsidRDefault="006B0CC9" w:rsidP="006B0CC9">
      <w:pPr>
        <w:spacing w:before="100" w:beforeAutospacing="1" w:after="120" w:line="240" w:lineRule="auto"/>
        <w:jc w:val="both"/>
        <w:rPr>
          <w:rFonts w:cstheme="minorHAnsi"/>
          <w:sz w:val="24"/>
          <w:szCs w:val="24"/>
        </w:rPr>
      </w:pPr>
    </w:p>
    <w:p w14:paraId="75F9986E" w14:textId="77777777" w:rsidR="002F36BE" w:rsidRDefault="002F36BE"/>
    <w:sectPr w:rsidR="002F36BE">
      <w:headerReference w:type="default" r:id="rId10"/>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39E6E" w14:textId="77777777" w:rsidR="00AA5EF9" w:rsidRDefault="00AA5EF9">
      <w:pPr>
        <w:spacing w:after="0" w:line="240" w:lineRule="auto"/>
      </w:pPr>
      <w:r>
        <w:separator/>
      </w:r>
    </w:p>
  </w:endnote>
  <w:endnote w:type="continuationSeparator" w:id="0">
    <w:p w14:paraId="1C6CA8BD" w14:textId="77777777" w:rsidR="00AA5EF9" w:rsidRDefault="00AA5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1C01" w14:textId="77747C81" w:rsidR="002F36BE" w:rsidRDefault="0035099D">
    <w:pPr>
      <w:pStyle w:val="Footer"/>
    </w:pPr>
    <w:r>
      <w:rPr>
        <w:noProof/>
        <w14:ligatures w14:val="standardContextual"/>
      </w:rPr>
      <mc:AlternateContent>
        <mc:Choice Requires="wps">
          <w:drawing>
            <wp:anchor distT="0" distB="0" distL="0" distR="0" simplePos="0" relativeHeight="251658241" behindDoc="0" locked="0" layoutInCell="1" allowOverlap="1" wp14:anchorId="4AD94E8F" wp14:editId="5893FD51">
              <wp:simplePos x="635" y="635"/>
              <wp:positionH relativeFrom="page">
                <wp:align>left</wp:align>
              </wp:positionH>
              <wp:positionV relativeFrom="page">
                <wp:align>bottom</wp:align>
              </wp:positionV>
              <wp:extent cx="965200" cy="357505"/>
              <wp:effectExtent l="0" t="0" r="6350" b="0"/>
              <wp:wrapNone/>
              <wp:docPr id="144791848" name="Text Box 2" descr="SW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5200" cy="357505"/>
                      </a:xfrm>
                      <a:prstGeom prst="rect">
                        <a:avLst/>
                      </a:prstGeom>
                      <a:noFill/>
                      <a:ln>
                        <a:noFill/>
                      </a:ln>
                    </wps:spPr>
                    <wps:txbx>
                      <w:txbxContent>
                        <w:p w14:paraId="3EA306D9" w14:textId="0F4A9883"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D94E8F" id="_x0000_t202" coordsize="21600,21600" o:spt="202" path="m,l,21600r21600,l21600,xe">
              <v:stroke joinstyle="miter"/>
              <v:path gradientshapeok="t" o:connecttype="rect"/>
            </v:shapetype>
            <v:shape id="Text Box 2" o:spid="_x0000_s1026" type="#_x0000_t202" alt="SW Business" style="position:absolute;margin-left:0;margin-top:0;width:76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" filled="f" stroked="f">
              <v:textbox style="mso-fit-shape-to-text:t" inset="20pt,0,0,15pt">
                <w:txbxContent>
                  <w:p w14:paraId="3EA306D9" w14:textId="0F4A9883"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F5EA" w14:textId="3B0C80DB" w:rsidR="002F36BE" w:rsidRDefault="0035099D">
    <w:pPr>
      <w:pStyle w:val="Footer"/>
      <w:jc w:val="center"/>
    </w:pPr>
    <w:r>
      <w:rPr>
        <w:noProof/>
        <w14:ligatures w14:val="standardContextual"/>
      </w:rPr>
      <mc:AlternateContent>
        <mc:Choice Requires="wps">
          <w:drawing>
            <wp:anchor distT="0" distB="0" distL="0" distR="0" simplePos="0" relativeHeight="251658242" behindDoc="0" locked="0" layoutInCell="1" allowOverlap="1" wp14:anchorId="69B82F24" wp14:editId="2B84760F">
              <wp:simplePos x="914400" y="9901646"/>
              <wp:positionH relativeFrom="page">
                <wp:align>left</wp:align>
              </wp:positionH>
              <wp:positionV relativeFrom="page">
                <wp:align>bottom</wp:align>
              </wp:positionV>
              <wp:extent cx="965200" cy="357505"/>
              <wp:effectExtent l="0" t="0" r="6350" b="0"/>
              <wp:wrapNone/>
              <wp:docPr id="1347156392" name="Text Box 3" descr="SW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5200" cy="357505"/>
                      </a:xfrm>
                      <a:prstGeom prst="rect">
                        <a:avLst/>
                      </a:prstGeom>
                      <a:noFill/>
                      <a:ln>
                        <a:noFill/>
                      </a:ln>
                    </wps:spPr>
                    <wps:txbx>
                      <w:txbxContent>
                        <w:p w14:paraId="7AA76EBA" w14:textId="044FD76D"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82F24" id="_x0000_t202" coordsize="21600,21600" o:spt="202" path="m,l,21600r21600,l21600,xe">
              <v:stroke joinstyle="miter"/>
              <v:path gradientshapeok="t" o:connecttype="rect"/>
            </v:shapetype>
            <v:shape id="Text Box 3" o:spid="_x0000_s1027" type="#_x0000_t202" alt="SW Business" style="position:absolute;left:0;text-align:left;margin-left:0;margin-top:0;width:76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" filled="f" stroked="f">
              <v:textbox style="mso-fit-shape-to-text:t" inset="20pt,0,0,15pt">
                <w:txbxContent>
                  <w:p w14:paraId="7AA76EBA" w14:textId="044FD76D"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v:textbox>
              <w10:wrap anchorx="page" anchory="page"/>
            </v:shape>
          </w:pict>
        </mc:Fallback>
      </mc:AlternateContent>
    </w:r>
    <w:sdt>
      <w:sdtPr>
        <w:id w:val="-11842818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2FCCFA" w14:textId="77777777" w:rsidR="002F36BE" w:rsidRDefault="002F3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8DD5" w14:textId="1FC28DC5" w:rsidR="002F36BE" w:rsidRDefault="0035099D">
    <w:pPr>
      <w:pStyle w:val="Footer"/>
    </w:pPr>
    <w:r>
      <w:rPr>
        <w:noProof/>
        <w14:ligatures w14:val="standardContextual"/>
      </w:rPr>
      <mc:AlternateContent>
        <mc:Choice Requires="wps">
          <w:drawing>
            <wp:anchor distT="0" distB="0" distL="0" distR="0" simplePos="0" relativeHeight="251658240" behindDoc="0" locked="0" layoutInCell="1" allowOverlap="1" wp14:anchorId="05C572CC" wp14:editId="562EC514">
              <wp:simplePos x="635" y="635"/>
              <wp:positionH relativeFrom="page">
                <wp:align>left</wp:align>
              </wp:positionH>
              <wp:positionV relativeFrom="page">
                <wp:align>bottom</wp:align>
              </wp:positionV>
              <wp:extent cx="965200" cy="357505"/>
              <wp:effectExtent l="0" t="0" r="6350" b="0"/>
              <wp:wrapNone/>
              <wp:docPr id="369759534" name="Text Box 1" descr="SW 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5200" cy="357505"/>
                      </a:xfrm>
                      <a:prstGeom prst="rect">
                        <a:avLst/>
                      </a:prstGeom>
                      <a:noFill/>
                      <a:ln>
                        <a:noFill/>
                      </a:ln>
                    </wps:spPr>
                    <wps:txbx>
                      <w:txbxContent>
                        <w:p w14:paraId="3F02596B" w14:textId="582D2FD8"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C572CC" id="_x0000_t202" coordsize="21600,21600" o:spt="202" path="m,l,21600r21600,l21600,xe">
              <v:stroke joinstyle="miter"/>
              <v:path gradientshapeok="t" o:connecttype="rect"/>
            </v:shapetype>
            <v:shape id="Text Box 1" o:spid="_x0000_s1028" type="#_x0000_t202" alt="SW Business" style="position:absolute;margin-left:0;margin-top:0;width:76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" filled="f" stroked="f">
              <v:textbox style="mso-fit-shape-to-text:t" inset="20pt,0,0,15pt">
                <w:txbxContent>
                  <w:p w14:paraId="3F02596B" w14:textId="582D2FD8" w:rsidR="0035099D" w:rsidRPr="0035099D" w:rsidRDefault="0035099D" w:rsidP="0035099D">
                    <w:pPr>
                      <w:spacing w:after="0"/>
                      <w:rPr>
                        <w:rFonts w:ascii="Aptos" w:eastAsia="Aptos" w:hAnsi="Aptos" w:cs="Aptos"/>
                        <w:noProof/>
                        <w:color w:val="000000"/>
                        <w:sz w:val="20"/>
                        <w:szCs w:val="20"/>
                      </w:rPr>
                    </w:pPr>
                    <w:r w:rsidRPr="0035099D">
                      <w:rPr>
                        <w:rFonts w:ascii="Aptos" w:eastAsia="Aptos" w:hAnsi="Aptos" w:cs="Aptos"/>
                        <w:noProof/>
                        <w:color w:val="000000"/>
                        <w:sz w:val="20"/>
                        <w:szCs w:val="20"/>
                      </w:rPr>
                      <w:t>SW Business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8E45" w14:textId="77777777" w:rsidR="00AA5EF9" w:rsidRDefault="00AA5EF9">
      <w:pPr>
        <w:spacing w:after="0" w:line="240" w:lineRule="auto"/>
      </w:pPr>
      <w:r>
        <w:separator/>
      </w:r>
    </w:p>
  </w:footnote>
  <w:footnote w:type="continuationSeparator" w:id="0">
    <w:p w14:paraId="77180257" w14:textId="77777777" w:rsidR="00AA5EF9" w:rsidRDefault="00AA5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B040" w14:textId="77777777" w:rsidR="002F36BE" w:rsidRDefault="00425D8A">
    <w:pPr>
      <w:pStyle w:val="Header"/>
      <w:tabs>
        <w:tab w:val="clear" w:pos="9026"/>
        <w:tab w:val="left" w:pos="6950"/>
      </w:tabs>
      <w:rPr>
        <w:b/>
        <w:bCs/>
      </w:rPr>
    </w:pPr>
    <w:r>
      <w:rPr>
        <w:noProof/>
      </w:rPr>
      <w:drawing>
        <wp:inline distT="0" distB="0" distL="0" distR="0" wp14:anchorId="3C75BAD2" wp14:editId="0B8CED33">
          <wp:extent cx="1599105" cy="360000"/>
          <wp:effectExtent l="0" t="0" r="1270" b="2540"/>
          <wp:docPr id="2"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9105" cy="360000"/>
                  </a:xfrm>
                  <a:prstGeom prst="rect">
                    <a:avLst/>
                  </a:prstGeom>
                  <a:noFill/>
                  <a:ln>
                    <a:noFill/>
                  </a:ln>
                </pic:spPr>
              </pic:pic>
            </a:graphicData>
          </a:graphic>
        </wp:inline>
      </w:drawing>
    </w:r>
  </w:p>
  <w:p w14:paraId="6BDF497C" w14:textId="77777777" w:rsidR="002F36BE" w:rsidRDefault="002F36BE">
    <w:pPr>
      <w:pStyle w:val="Header"/>
      <w:tabs>
        <w:tab w:val="clear" w:pos="9026"/>
        <w:tab w:val="left" w:pos="6950"/>
      </w:tabs>
      <w:rPr>
        <w:b/>
        <w:bCs/>
      </w:rPr>
    </w:pPr>
  </w:p>
  <w:p w14:paraId="701309C3" w14:textId="0D8E0180" w:rsidR="002F36BE" w:rsidRDefault="00425D8A">
    <w:pPr>
      <w:pStyle w:val="Header"/>
      <w:tabs>
        <w:tab w:val="clear" w:pos="9026"/>
        <w:tab w:val="left" w:pos="6950"/>
      </w:tabs>
      <w:rPr>
        <w:b/>
        <w:bCs/>
      </w:rPr>
    </w:pPr>
    <w:r>
      <w:rPr>
        <w:b/>
        <w:bCs/>
      </w:rPr>
      <w:t xml:space="preserve">LAST UPDATE: </w:t>
    </w:r>
    <w:r w:rsidR="0049112B">
      <w:rPr>
        <w:b/>
        <w:bCs/>
      </w:rPr>
      <w:t>MAY</w:t>
    </w:r>
    <w:r>
      <w:rPr>
        <w:b/>
        <w:bCs/>
      </w:rPr>
      <w:t xml:space="preserve"> 2026  </w:t>
    </w:r>
  </w:p>
  <w:p w14:paraId="256A7773" w14:textId="77777777" w:rsidR="002F36BE" w:rsidRPr="00E16959" w:rsidRDefault="00425D8A">
    <w:pPr>
      <w:pStyle w:val="Header"/>
      <w:tabs>
        <w:tab w:val="clear" w:pos="9026"/>
        <w:tab w:val="left" w:pos="6950"/>
      </w:tabs>
      <w:rPr>
        <w:b/>
        <w:bCs/>
      </w:rPr>
    </w:pPr>
    <w:r w:rsidRPr="004F426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358D"/>
    <w:multiLevelType w:val="hybridMultilevel"/>
    <w:tmpl w:val="0964A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1485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C9"/>
    <w:rsid w:val="001D472F"/>
    <w:rsid w:val="002E58AB"/>
    <w:rsid w:val="002F36BE"/>
    <w:rsid w:val="00331212"/>
    <w:rsid w:val="0035099D"/>
    <w:rsid w:val="00353C8D"/>
    <w:rsid w:val="003A536E"/>
    <w:rsid w:val="00425D8A"/>
    <w:rsid w:val="0049112B"/>
    <w:rsid w:val="004C747E"/>
    <w:rsid w:val="004D5559"/>
    <w:rsid w:val="004E6C41"/>
    <w:rsid w:val="005A57BD"/>
    <w:rsid w:val="005C0E0D"/>
    <w:rsid w:val="006B0CC9"/>
    <w:rsid w:val="006F4A19"/>
    <w:rsid w:val="007509C5"/>
    <w:rsid w:val="007C0E00"/>
    <w:rsid w:val="008C1077"/>
    <w:rsid w:val="00930B3C"/>
    <w:rsid w:val="0094313A"/>
    <w:rsid w:val="0095135B"/>
    <w:rsid w:val="009A0F66"/>
    <w:rsid w:val="009B2931"/>
    <w:rsid w:val="00A10BA6"/>
    <w:rsid w:val="00A209B0"/>
    <w:rsid w:val="00AA5EF9"/>
    <w:rsid w:val="00AE241F"/>
    <w:rsid w:val="00BC1F96"/>
    <w:rsid w:val="00C16677"/>
    <w:rsid w:val="00DE6D1C"/>
    <w:rsid w:val="00F12403"/>
    <w:rsid w:val="00F23358"/>
    <w:rsid w:val="00F719E1"/>
    <w:rsid w:val="00FB4331"/>
    <w:rsid w:val="427AC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16DE"/>
  <w15:chartTrackingRefBased/>
  <w15:docId w15:val="{6506DF02-CAE2-4183-B8B4-7B6BF043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CC9"/>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CC9"/>
    <w:pPr>
      <w:ind w:left="720"/>
      <w:contextualSpacing/>
    </w:pPr>
  </w:style>
  <w:style w:type="paragraph" w:styleId="Header">
    <w:name w:val="header"/>
    <w:basedOn w:val="Normal"/>
    <w:link w:val="HeaderChar"/>
    <w:uiPriority w:val="99"/>
    <w:unhideWhenUsed/>
    <w:rsid w:val="006B0C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CC9"/>
    <w:rPr>
      <w:kern w:val="0"/>
      <w:sz w:val="22"/>
      <w:szCs w:val="22"/>
      <w14:ligatures w14:val="none"/>
    </w:rPr>
  </w:style>
  <w:style w:type="paragraph" w:styleId="Footer">
    <w:name w:val="footer"/>
    <w:basedOn w:val="Normal"/>
    <w:link w:val="FooterChar"/>
    <w:uiPriority w:val="99"/>
    <w:unhideWhenUsed/>
    <w:rsid w:val="006B0C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CC9"/>
    <w:rPr>
      <w:kern w:val="0"/>
      <w:sz w:val="22"/>
      <w:szCs w:val="22"/>
      <w14:ligatures w14:val="none"/>
    </w:rPr>
  </w:style>
  <w:style w:type="paragraph" w:styleId="Revision">
    <w:name w:val="Revision"/>
    <w:hidden/>
    <w:uiPriority w:val="99"/>
    <w:semiHidden/>
    <w:rsid w:val="006B0CC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5713b9-bbf5-4f44-b716-09c71dff84d9" xsi:nil="true"/>
    <SharedWithUsers xmlns="275713b9-bbf5-4f44-b716-09c71dff84d9">
      <UserInfo>
        <DisplayName/>
        <AccountId xsi:nil="true"/>
        <AccountType/>
      </UserInfo>
    </SharedWithUsers>
    <_Status xmlns="http://schemas.microsoft.com/sharepoint/v3/fields">Draft</_Status>
    <TaxKeywordTaxHTField xmlns="275713b9-bbf5-4f44-b716-09c71dff84d9">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ED09FFD711A5499E95E97592752543" ma:contentTypeVersion="14" ma:contentTypeDescription="Create a new document." ma:contentTypeScope="" ma:versionID="d993a50e21032082a3497a413a601be4">
  <xsd:schema xmlns:xsd="http://www.w3.org/2001/XMLSchema" xmlns:xs="http://www.w3.org/2001/XMLSchema" xmlns:p="http://schemas.microsoft.com/office/2006/metadata/properties" xmlns:ns2="http://schemas.microsoft.com/sharepoint/v3/fields" xmlns:ns3="275713b9-bbf5-4f44-b716-09c71dff84d9" xmlns:ns4="accde583-9725-4c74-8b9b-90671b574884" targetNamespace="http://schemas.microsoft.com/office/2006/metadata/properties" ma:root="true" ma:fieldsID="9f0e909546d10cc26c74257640dac6df" ns2:_="" ns3:_="" ns4:_="">
    <xsd:import namespace="http://schemas.microsoft.com/sharepoint/v3/fields"/>
    <xsd:import namespace="275713b9-bbf5-4f44-b716-09c71dff84d9"/>
    <xsd:import namespace="accde583-9725-4c74-8b9b-90671b574884"/>
    <xsd:element name="properties">
      <xsd:complexType>
        <xsd:sequence>
          <xsd:element name="documentManagement">
            <xsd:complexType>
              <xsd:all>
                <xsd:element ref="ns2:_Status" minOccurs="0"/>
                <xsd:element ref="ns3:TaxKeywordTaxHTField"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Draft"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75713b9-bbf5-4f44-b716-09c71dff84d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3a012005-f5cd-43f9-a578-e007a94ea022"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5171a2a4-1c7e-42d6-8b8b-b4ae613ddc8d}" ma:internalName="TaxCatchAll" ma:showField="CatchAllData" ma:web="275713b9-bbf5-4f44-b716-09c71dff84d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cde583-9725-4c74-8b9b-90671b57488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E3460-1FDA-45E0-977A-761968EA2DE9}">
  <ds:schemaRefs>
    <ds:schemaRef ds:uri="http://schemas.microsoft.com/sharepoint/v3/contenttype/forms"/>
  </ds:schemaRefs>
</ds:datastoreItem>
</file>

<file path=customXml/itemProps2.xml><?xml version="1.0" encoding="utf-8"?>
<ds:datastoreItem xmlns:ds="http://schemas.openxmlformats.org/officeDocument/2006/customXml" ds:itemID="{395F59CA-2F0D-46CB-A3FC-5AC07E9C134A}">
  <ds:schemaRefs>
    <ds:schemaRef ds:uri="http://schemas.microsoft.com/office/2006/metadata/properties"/>
    <ds:schemaRef ds:uri="http://schemas.microsoft.com/office/infopath/2007/PartnerControls"/>
    <ds:schemaRef ds:uri="275713b9-bbf5-4f44-b716-09c71dff84d9"/>
    <ds:schemaRef ds:uri="http://schemas.microsoft.com/sharepoint/v3/fields"/>
  </ds:schemaRefs>
</ds:datastoreItem>
</file>

<file path=customXml/itemProps3.xml><?xml version="1.0" encoding="utf-8"?>
<ds:datastoreItem xmlns:ds="http://schemas.openxmlformats.org/officeDocument/2006/customXml" ds:itemID="{0EAFFEFF-770C-48BD-88DB-0E9C7C414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75713b9-bbf5-4f44-b716-09c71dff84d9"/>
    <ds:schemaRef ds:uri="accde583-9725-4c74-8b9b-90671b574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613</Words>
  <Characters>3310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Robson</dc:creator>
  <cp:keywords/>
  <dc:description/>
  <cp:lastModifiedBy>Nicola Fairley</cp:lastModifiedBy>
  <cp:revision>2</cp:revision>
  <dcterms:created xsi:type="dcterms:W3CDTF">2026-06-17T16:31:00Z</dcterms:created>
  <dcterms:modified xsi:type="dcterms:W3CDTF">2026-06-17T16:31:00Z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160a152e,8a15928,504bf9a8</vt:lpwstr>
  </property>
  <property fmtid="{D5CDD505-2E9C-101B-9397-08002B2CF9AE}" pid="3" name="ClassificationContentMarkingFooterFontProps">
    <vt:lpwstr>#000000,10,Aptos</vt:lpwstr>
  </property>
  <property fmtid="{D5CDD505-2E9C-101B-9397-08002B2CF9AE}" pid="4" name="ClassificationContentMarkingFooterText">
    <vt:lpwstr>SW Business</vt:lpwstr>
  </property>
  <property fmtid="{D5CDD505-2E9C-101B-9397-08002B2CF9AE}" pid="5" name="MSIP_Label_9482a36a-3601-4be7-89b9-8e3e67b0198b_Enabled">
    <vt:lpwstr>true</vt:lpwstr>
  </property>
  <property fmtid="{D5CDD505-2E9C-101B-9397-08002B2CF9AE}" pid="6" name="MSIP_Label_9482a36a-3601-4be7-89b9-8e3e67b0198b_SetDate">
    <vt:lpwstr>2026-05-07T08:28:00Z</vt:lpwstr>
  </property>
  <property fmtid="{D5CDD505-2E9C-101B-9397-08002B2CF9AE}" pid="7" name="MSIP_Label_9482a36a-3601-4be7-89b9-8e3e67b0198b_Method">
    <vt:lpwstr>Privileged</vt:lpwstr>
  </property>
  <property fmtid="{D5CDD505-2E9C-101B-9397-08002B2CF9AE}" pid="8" name="MSIP_Label_9482a36a-3601-4be7-89b9-8e3e67b0198b_Name">
    <vt:lpwstr>SW Business - Unrestricted</vt:lpwstr>
  </property>
  <property fmtid="{D5CDD505-2E9C-101B-9397-08002B2CF9AE}" pid="9" name="MSIP_Label_9482a36a-3601-4be7-89b9-8e3e67b0198b_SiteId">
    <vt:lpwstr>f90bd2e7-b5c0-4b25-9e27-226ff8b6c17b</vt:lpwstr>
  </property>
  <property fmtid="{D5CDD505-2E9C-101B-9397-08002B2CF9AE}" pid="10" name="MSIP_Label_9482a36a-3601-4be7-89b9-8e3e67b0198b_ActionId">
    <vt:lpwstr>5a11eea0-4ad2-4edb-8352-7798e795e3c9</vt:lpwstr>
  </property>
  <property fmtid="{D5CDD505-2E9C-101B-9397-08002B2CF9AE}" pid="11" name="MSIP_Label_9482a36a-3601-4be7-89b9-8e3e67b0198b_ContentBits">
    <vt:lpwstr>2</vt:lpwstr>
  </property>
  <property fmtid="{D5CDD505-2E9C-101B-9397-08002B2CF9AE}" pid="12" name="MSIP_Label_9482a36a-3601-4be7-89b9-8e3e67b0198b_Tag">
    <vt:lpwstr>10, 0, 1, 1</vt:lpwstr>
  </property>
  <property fmtid="{D5CDD505-2E9C-101B-9397-08002B2CF9AE}" pid="13" name="ContentTypeId">
    <vt:lpwstr>0x0101005FED09FFD711A5499E95E97592752543</vt:lpwstr>
  </property>
  <property fmtid="{D5CDD505-2E9C-101B-9397-08002B2CF9AE}" pid="14" name="MediaServiceImageTags">
    <vt:lpwstr/>
  </property>
  <property fmtid="{D5CDD505-2E9C-101B-9397-08002B2CF9AE}" pid="15" name="docLang">
    <vt:lpwstr>en</vt:lpwstr>
  </property>
  <property fmtid="{D5CDD505-2E9C-101B-9397-08002B2CF9AE}" pid="16" name="TaxKeyword">
    <vt:lpwstr/>
  </property>
</Properties>
</file>